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Decision Making in Finance: Present Value of an Investment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VI.B Student Activity Sheet 4: Road to $1 Million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In Student Activity Sheet 3, you analyzed the future value </w:t>
      </w:r>
      <w:r>
        <w:rPr>
          <w:rFonts w:ascii="TrebuchetMS" w:hAnsi="TrebuchetMS" w:cs="TrebuchetMS"/>
          <w:sz w:val="24"/>
          <w:szCs w:val="24"/>
        </w:rPr>
        <w:t xml:space="preserve">of an investment over time. You </w:t>
      </w:r>
      <w:r>
        <w:rPr>
          <w:rFonts w:ascii="TrebuchetMS" w:hAnsi="TrebuchetMS" w:cs="TrebuchetMS"/>
          <w:sz w:val="24"/>
          <w:szCs w:val="24"/>
        </w:rPr>
        <w:t>began with $2,600 invested in a savings account for 30 year</w:t>
      </w:r>
      <w:r>
        <w:rPr>
          <w:rFonts w:ascii="TrebuchetMS" w:hAnsi="TrebuchetMS" w:cs="TrebuchetMS"/>
          <w:sz w:val="24"/>
          <w:szCs w:val="24"/>
        </w:rPr>
        <w:t xml:space="preserve">s. After 30 years, your initial </w:t>
      </w:r>
      <w:r>
        <w:rPr>
          <w:rFonts w:ascii="TrebuchetMS" w:hAnsi="TrebuchetMS" w:cs="TrebuchetMS"/>
          <w:sz w:val="24"/>
          <w:szCs w:val="24"/>
        </w:rPr>
        <w:t>investment would be worth $9.062.70. In this activity, you will look at th</w:t>
      </w:r>
      <w:r>
        <w:rPr>
          <w:rFonts w:ascii="TrebuchetMS" w:hAnsi="TrebuchetMS" w:cs="TrebuchetMS"/>
          <w:sz w:val="24"/>
          <w:szCs w:val="24"/>
        </w:rPr>
        <w:t xml:space="preserve">e same investment </w:t>
      </w:r>
      <w:r>
        <w:rPr>
          <w:rFonts w:ascii="TrebuchetMS" w:hAnsi="TrebuchetMS" w:cs="TrebuchetMS"/>
          <w:sz w:val="24"/>
          <w:szCs w:val="24"/>
        </w:rPr>
        <w:t xml:space="preserve">in a different way. The question relates to the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time value of money </w:t>
      </w:r>
      <w:r>
        <w:rPr>
          <w:rFonts w:ascii="TrebuchetMS" w:hAnsi="TrebuchetMS" w:cs="TrebuchetMS"/>
          <w:sz w:val="24"/>
          <w:szCs w:val="24"/>
        </w:rPr>
        <w:t xml:space="preserve">(TVM). 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P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Italic" w:hAnsi="TrebuchetMS-Italic" w:cs="TrebuchetMS-Italic"/>
          <w:i/>
          <w:iCs/>
          <w:sz w:val="24"/>
          <w:szCs w:val="24"/>
        </w:rPr>
        <w:t>What is that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$9,062.70 future value worth at various times in the 30-year investment?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643BB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following table lists the principal required to obtain the same future va</w:t>
      </w:r>
      <w:r>
        <w:rPr>
          <w:rFonts w:ascii="TrebuchetMS" w:hAnsi="TrebuchetMS" w:cs="TrebuchetMS"/>
          <w:sz w:val="24"/>
          <w:szCs w:val="24"/>
        </w:rPr>
        <w:t xml:space="preserve">lue of $9,062.70 </w:t>
      </w:r>
      <w:r>
        <w:rPr>
          <w:rFonts w:ascii="TrebuchetMS" w:hAnsi="TrebuchetMS" w:cs="TrebuchetMS"/>
          <w:sz w:val="24"/>
          <w:szCs w:val="24"/>
        </w:rPr>
        <w:t>for various investment lengths. So, in the table, the 30-year</w:t>
      </w:r>
      <w:r>
        <w:rPr>
          <w:rFonts w:ascii="TrebuchetMS" w:hAnsi="TrebuchetMS" w:cs="TrebuchetMS"/>
          <w:sz w:val="24"/>
          <w:szCs w:val="24"/>
        </w:rPr>
        <w:t xml:space="preserve"> investment is the one you have </w:t>
      </w:r>
      <w:r>
        <w:rPr>
          <w:rFonts w:ascii="TrebuchetMS" w:hAnsi="TrebuchetMS" w:cs="TrebuchetMS"/>
          <w:sz w:val="24"/>
          <w:szCs w:val="24"/>
        </w:rPr>
        <w:t>already explored. The other values in the table show how m</w:t>
      </w:r>
      <w:r>
        <w:rPr>
          <w:rFonts w:ascii="TrebuchetMS" w:hAnsi="TrebuchetMS" w:cs="TrebuchetMS"/>
          <w:sz w:val="24"/>
          <w:szCs w:val="24"/>
        </w:rPr>
        <w:t xml:space="preserve">uch principal you would need to </w:t>
      </w:r>
      <w:r>
        <w:rPr>
          <w:rFonts w:ascii="TrebuchetMS" w:hAnsi="TrebuchetMS" w:cs="TrebuchetMS"/>
          <w:sz w:val="24"/>
          <w:szCs w:val="24"/>
        </w:rPr>
        <w:t>invest and the length of time of the investment for the same y</w:t>
      </w:r>
      <w:r>
        <w:rPr>
          <w:rFonts w:ascii="TrebuchetMS" w:hAnsi="TrebuchetMS" w:cs="TrebuchetMS"/>
          <w:sz w:val="24"/>
          <w:szCs w:val="24"/>
        </w:rPr>
        <w:t xml:space="preserve">ield. This can be thought of as </w:t>
      </w:r>
      <w:r>
        <w:rPr>
          <w:rFonts w:ascii="TrebuchetMS" w:hAnsi="TrebuchetMS" w:cs="TrebuchetMS"/>
          <w:sz w:val="24"/>
          <w:szCs w:val="24"/>
        </w:rPr>
        <w:t xml:space="preserve">the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present value </w:t>
      </w:r>
      <w:r>
        <w:rPr>
          <w:rFonts w:ascii="TrebuchetMS" w:hAnsi="TrebuchetMS" w:cs="TrebuchetMS"/>
          <w:sz w:val="24"/>
          <w:szCs w:val="24"/>
        </w:rPr>
        <w:t>of the investment.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430"/>
      </w:tblGrid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 xml:space="preserve">Years </w:t>
            </w:r>
            <w:proofErr w:type="spellStart"/>
            <w:r>
              <w:rPr>
                <w:rFonts w:ascii="TrebuchetMS" w:hAnsi="TrebuchetMS" w:cs="TrebuchetMS"/>
                <w:sz w:val="24"/>
                <w:szCs w:val="24"/>
              </w:rPr>
              <w:t>Til</w:t>
            </w:r>
            <w:proofErr w:type="spellEnd"/>
            <w:r>
              <w:rPr>
                <w:rFonts w:ascii="TrebuchetMS" w:hAnsi="TrebuchetMS" w:cs="TrebuchetMS"/>
                <w:sz w:val="24"/>
                <w:szCs w:val="24"/>
              </w:rPr>
              <w:t xml:space="preserve"> Maturity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Principal Required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$9,062.70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$7,359.95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$5,977.16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15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$4,854.16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20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$3,942.20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25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$3,201.50</w:t>
            </w:r>
          </w:p>
        </w:tc>
      </w:tr>
      <w:tr w:rsidR="00076957" w:rsidTr="00076957">
        <w:trPr>
          <w:jc w:val="center"/>
        </w:trPr>
        <w:tc>
          <w:tcPr>
            <w:tcW w:w="217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30</w:t>
            </w:r>
          </w:p>
        </w:tc>
        <w:tc>
          <w:tcPr>
            <w:tcW w:w="243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$2,600.00</w:t>
            </w:r>
          </w:p>
        </w:tc>
      </w:tr>
    </w:tbl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Create a scatterplot of the given data. Label the axes and scales, and provide a title.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Calculate the regression equation for the given data. G</w:t>
      </w:r>
      <w:r>
        <w:rPr>
          <w:rFonts w:ascii="TrebuchetMS" w:hAnsi="TrebuchetMS" w:cs="TrebuchetMS"/>
          <w:sz w:val="24"/>
          <w:szCs w:val="24"/>
        </w:rPr>
        <w:t xml:space="preserve">raph the regression equation on </w:t>
      </w:r>
      <w:r>
        <w:rPr>
          <w:rFonts w:ascii="TrebuchetMS" w:hAnsi="TrebuchetMS" w:cs="TrebuchetMS"/>
          <w:sz w:val="24"/>
          <w:szCs w:val="24"/>
        </w:rPr>
        <w:t xml:space="preserve">the scatterplot. Explain why the function model you </w:t>
      </w:r>
      <w:r>
        <w:rPr>
          <w:rFonts w:ascii="TrebuchetMS" w:hAnsi="TrebuchetMS" w:cs="TrebuchetMS"/>
          <w:sz w:val="24"/>
          <w:szCs w:val="24"/>
        </w:rPr>
        <w:t xml:space="preserve">used makes sense in the problem </w:t>
      </w:r>
      <w:r>
        <w:rPr>
          <w:rFonts w:ascii="TrebuchetMS" w:hAnsi="TrebuchetMS" w:cs="TrebuchetMS"/>
          <w:sz w:val="24"/>
          <w:szCs w:val="24"/>
        </w:rPr>
        <w:t>situation.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Josephine is 20 years old and wants to save $1 mill</w:t>
      </w:r>
      <w:r>
        <w:rPr>
          <w:rFonts w:ascii="TrebuchetMS" w:hAnsi="TrebuchetMS" w:cs="TrebuchetMS"/>
          <w:sz w:val="24"/>
          <w:szCs w:val="24"/>
        </w:rPr>
        <w:t xml:space="preserve">ion for retirement in 50 years.  </w:t>
      </w:r>
      <w:r>
        <w:rPr>
          <w:rFonts w:ascii="TrebuchetMS" w:hAnsi="TrebuchetMS" w:cs="TrebuchetMS"/>
          <w:sz w:val="24"/>
          <w:szCs w:val="24"/>
        </w:rPr>
        <w:t>Assume she invests in a savings account that ear</w:t>
      </w:r>
      <w:r>
        <w:rPr>
          <w:rFonts w:ascii="TrebuchetMS" w:hAnsi="TrebuchetMS" w:cs="TrebuchetMS"/>
          <w:sz w:val="24"/>
          <w:szCs w:val="24"/>
        </w:rPr>
        <w:t xml:space="preserve">ns at least the current rate of </w:t>
      </w:r>
      <w:r>
        <w:rPr>
          <w:rFonts w:ascii="TrebuchetMS" w:hAnsi="TrebuchetMS" w:cs="TrebuchetMS"/>
          <w:sz w:val="24"/>
          <w:szCs w:val="24"/>
        </w:rPr>
        <w:t>inflation. Determine how much Josephine must sav</w:t>
      </w:r>
      <w:r>
        <w:rPr>
          <w:rFonts w:ascii="TrebuchetMS" w:hAnsi="TrebuchetMS" w:cs="TrebuchetMS"/>
          <w:sz w:val="24"/>
          <w:szCs w:val="24"/>
        </w:rPr>
        <w:t xml:space="preserve">e today to reach her retirement </w:t>
      </w:r>
      <w:r>
        <w:rPr>
          <w:rFonts w:ascii="TrebuchetMS" w:hAnsi="TrebuchetMS" w:cs="TrebuchetMS"/>
          <w:sz w:val="24"/>
          <w:szCs w:val="24"/>
        </w:rPr>
        <w:t>goal.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Recall the future-value formula       </w:t>
      </w:r>
      <w:r w:rsidRPr="00076957">
        <w:rPr>
          <w:rFonts w:ascii="TrebuchetMS" w:hAnsi="TrebuchetMS" w:cs="TrebuchetMS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rebuchetMS"/>
            <w:sz w:val="32"/>
            <w:szCs w:val="32"/>
          </w:rPr>
          <m:t>FV=PV</m:t>
        </m:r>
        <m:sSup>
          <m:sSupPr>
            <m:ctrlPr>
              <w:rPr>
                <w:rFonts w:ascii="Cambria Math" w:hAnsi="Cambria Math" w:cs="TrebuchetMS"/>
                <w:b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rebuchetMS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ebuchetMS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rebuchetMS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rebuchetMS"/>
                        <w:sz w:val="32"/>
                        <w:szCs w:val="32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ebuchetMS"/>
                        <w:sz w:val="32"/>
                        <w:szCs w:val="32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rebuchetMS"/>
                <w:sz w:val="32"/>
                <w:szCs w:val="32"/>
              </w:rPr>
              <m:t>nt</m:t>
            </m:r>
          </m:sup>
        </m:sSup>
      </m:oMath>
      <w:r>
        <w:rPr>
          <w:rFonts w:ascii="TrebuchetMS" w:hAnsi="TrebuchetMS" w:cs="TrebuchetMS"/>
          <w:sz w:val="24"/>
          <w:szCs w:val="24"/>
        </w:rPr>
        <w:t xml:space="preserve">      u</w:t>
      </w:r>
      <w:r>
        <w:rPr>
          <w:rFonts w:ascii="TrebuchetMS" w:hAnsi="TrebuchetMS" w:cs="TrebuchetMS"/>
          <w:sz w:val="24"/>
          <w:szCs w:val="24"/>
        </w:rPr>
        <w:t>sing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FV </w:t>
      </w:r>
      <w:r>
        <w:rPr>
          <w:rFonts w:ascii="TrebuchetMS" w:hAnsi="TrebuchetMS" w:cs="TrebuchetMS"/>
          <w:sz w:val="24"/>
          <w:szCs w:val="24"/>
        </w:rPr>
        <w:t>for future value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t </w:t>
      </w:r>
      <w:r>
        <w:rPr>
          <w:rFonts w:ascii="TrebuchetMS" w:hAnsi="TrebuchetMS" w:cs="TrebuchetMS"/>
          <w:sz w:val="24"/>
          <w:szCs w:val="24"/>
        </w:rPr>
        <w:t>for time (years)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for interest rate (in decimal form)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 </w:t>
      </w:r>
      <w:r>
        <w:rPr>
          <w:rFonts w:ascii="TrebuchetMS" w:hAnsi="TrebuchetMS" w:cs="TrebuchetMS"/>
          <w:sz w:val="24"/>
          <w:szCs w:val="24"/>
        </w:rPr>
        <w:t>for number of compound periods per year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PV </w:t>
      </w:r>
      <w:r>
        <w:rPr>
          <w:rFonts w:ascii="TrebuchetMS" w:hAnsi="TrebuchetMS" w:cs="TrebuchetMS"/>
          <w:sz w:val="24"/>
          <w:szCs w:val="24"/>
        </w:rPr>
        <w:t>for the principal or present value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4</w:t>
      </w:r>
      <w:r>
        <w:rPr>
          <w:rFonts w:ascii="TrebuchetMS" w:hAnsi="TrebuchetMS" w:cs="TrebuchetMS"/>
          <w:sz w:val="24"/>
          <w:szCs w:val="24"/>
        </w:rPr>
        <w:t xml:space="preserve">. Suppose Josephine does not want to begin saving for her </w:t>
      </w:r>
      <w:r>
        <w:rPr>
          <w:rFonts w:ascii="TrebuchetMS" w:hAnsi="TrebuchetMS" w:cs="TrebuchetMS"/>
          <w:sz w:val="24"/>
          <w:szCs w:val="24"/>
        </w:rPr>
        <w:t xml:space="preserve">retirement immediately. Fill in </w:t>
      </w:r>
      <w:r>
        <w:rPr>
          <w:rFonts w:ascii="TrebuchetMS" w:hAnsi="TrebuchetMS" w:cs="TrebuchetMS"/>
          <w:sz w:val="24"/>
          <w:szCs w:val="24"/>
        </w:rPr>
        <w:t xml:space="preserve">the following table to show the amount of money that </w:t>
      </w:r>
      <w:r>
        <w:rPr>
          <w:rFonts w:ascii="TrebuchetMS" w:hAnsi="TrebuchetMS" w:cs="TrebuchetMS"/>
          <w:sz w:val="24"/>
          <w:szCs w:val="24"/>
        </w:rPr>
        <w:t xml:space="preserve">Josephine must invest to retire </w:t>
      </w:r>
      <w:r>
        <w:rPr>
          <w:rFonts w:ascii="TrebuchetMS" w:hAnsi="TrebuchetMS" w:cs="TrebuchetMS"/>
          <w:sz w:val="24"/>
          <w:szCs w:val="24"/>
        </w:rPr>
        <w:t xml:space="preserve">50 years from now with $1,000,000 based on the number of years that she waits to </w:t>
      </w:r>
      <w:r>
        <w:rPr>
          <w:rFonts w:ascii="TrebuchetMS" w:hAnsi="TrebuchetMS" w:cs="TrebuchetMS"/>
          <w:sz w:val="24"/>
          <w:szCs w:val="24"/>
        </w:rPr>
        <w:t xml:space="preserve">start </w:t>
      </w:r>
      <w:r>
        <w:rPr>
          <w:rFonts w:ascii="TrebuchetMS" w:hAnsi="TrebuchetMS" w:cs="TrebuchetMS"/>
          <w:sz w:val="24"/>
          <w:szCs w:val="24"/>
        </w:rPr>
        <w:t>saving.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250"/>
      </w:tblGrid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lastRenderedPageBreak/>
              <w:t>Years of</w:t>
            </w:r>
          </w:p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Waiting to</w:t>
            </w:r>
          </w:p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Save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Principal</w:t>
            </w:r>
          </w:p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Required</w:t>
            </w:r>
          </w:p>
        </w:tc>
      </w:tr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076957" w:rsidTr="00076957">
        <w:trPr>
          <w:jc w:val="center"/>
        </w:trPr>
        <w:tc>
          <w:tcPr>
            <w:tcW w:w="1818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50</w:t>
            </w:r>
          </w:p>
        </w:tc>
        <w:tc>
          <w:tcPr>
            <w:tcW w:w="2250" w:type="dxa"/>
            <w:vAlign w:val="center"/>
          </w:tcPr>
          <w:p w:rsidR="00076957" w:rsidRDefault="00076957" w:rsidP="00076957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</w:tbl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REFLECTION: </w:t>
      </w:r>
      <w:r>
        <w:rPr>
          <w:rFonts w:ascii="TrebuchetMS" w:hAnsi="TrebuchetMS" w:cs="TrebuchetMS"/>
          <w:sz w:val="24"/>
          <w:szCs w:val="24"/>
        </w:rPr>
        <w:t xml:space="preserve">Suppose Josephine believes in spending </w:t>
      </w:r>
      <w:r>
        <w:rPr>
          <w:rFonts w:ascii="TrebuchetMS" w:hAnsi="TrebuchetMS" w:cs="TrebuchetMS"/>
          <w:sz w:val="24"/>
          <w:szCs w:val="24"/>
        </w:rPr>
        <w:t xml:space="preserve">now and saving later. How could </w:t>
      </w:r>
      <w:r>
        <w:rPr>
          <w:rFonts w:ascii="TrebuchetMS" w:hAnsi="TrebuchetMS" w:cs="TrebuchetMS"/>
          <w:sz w:val="24"/>
          <w:szCs w:val="24"/>
        </w:rPr>
        <w:t>you use the table from Question 4 to convince her otherwise?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893105" w:rsidRDefault="00893105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 xml:space="preserve">Blaine wants to have $1,000 in 10 years. The following </w:t>
      </w:r>
      <w:r>
        <w:rPr>
          <w:rFonts w:ascii="TrebuchetMS" w:hAnsi="TrebuchetMS" w:cs="TrebuchetMS"/>
          <w:sz w:val="24"/>
          <w:szCs w:val="24"/>
        </w:rPr>
        <w:t xml:space="preserve">are the choices in which he can </w:t>
      </w:r>
      <w:r>
        <w:rPr>
          <w:rFonts w:ascii="TrebuchetMS" w:hAnsi="TrebuchetMS" w:cs="TrebuchetMS"/>
          <w:sz w:val="24"/>
          <w:szCs w:val="24"/>
        </w:rPr>
        <w:t>invest: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 savings account earning 3% compounded quarterly,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 checking account earning 1% compounded monthly, or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 money market account earning 4.5% compounded semiannually.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Blaine plans on making no withdr</w:t>
      </w:r>
      <w:r>
        <w:rPr>
          <w:rFonts w:ascii="TrebuchetMS" w:hAnsi="TrebuchetMS" w:cs="TrebuchetMS"/>
          <w:sz w:val="24"/>
          <w:szCs w:val="24"/>
        </w:rPr>
        <w:t xml:space="preserve">awals or deposits for 10 years.  </w:t>
      </w:r>
      <w:r>
        <w:rPr>
          <w:rFonts w:ascii="TrebuchetMS" w:hAnsi="TrebuchetMS" w:cs="TrebuchetMS"/>
          <w:sz w:val="24"/>
          <w:szCs w:val="24"/>
        </w:rPr>
        <w:t>Rewrite the formula from Question 3 for present valu</w:t>
      </w:r>
      <w:r>
        <w:rPr>
          <w:rFonts w:ascii="TrebuchetMS" w:hAnsi="TrebuchetMS" w:cs="TrebuchetMS"/>
          <w:sz w:val="24"/>
          <w:szCs w:val="24"/>
        </w:rPr>
        <w:t xml:space="preserve">e and allow for any compounding </w:t>
      </w:r>
      <w:r>
        <w:rPr>
          <w:rFonts w:ascii="TrebuchetMS" w:hAnsi="TrebuchetMS" w:cs="TrebuchetMS"/>
          <w:sz w:val="24"/>
          <w:szCs w:val="24"/>
        </w:rPr>
        <w:t>period (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n</w:t>
      </w:r>
      <w:r>
        <w:rPr>
          <w:rFonts w:ascii="TrebuchetMS" w:hAnsi="TrebuchetMS" w:cs="TrebuchetMS"/>
          <w:sz w:val="24"/>
          <w:szCs w:val="24"/>
        </w:rPr>
        <w:t>).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Rewrite the present-value formulas for each account t</w:t>
      </w:r>
      <w:r>
        <w:rPr>
          <w:rFonts w:ascii="TrebuchetMS" w:hAnsi="TrebuchetMS" w:cs="TrebuchetMS"/>
          <w:sz w:val="24"/>
          <w:szCs w:val="24"/>
        </w:rPr>
        <w:t xml:space="preserve">hat Blaine is considering. Make </w:t>
      </w:r>
      <w:r>
        <w:rPr>
          <w:rFonts w:ascii="TrebuchetMS" w:hAnsi="TrebuchetMS" w:cs="TrebuchetMS"/>
          <w:sz w:val="24"/>
          <w:szCs w:val="24"/>
        </w:rPr>
        <w:t>sure that the formulas include compounding periods ot</w:t>
      </w:r>
      <w:r>
        <w:rPr>
          <w:rFonts w:ascii="TrebuchetMS" w:hAnsi="TrebuchetMS" w:cs="TrebuchetMS"/>
          <w:sz w:val="24"/>
          <w:szCs w:val="24"/>
        </w:rPr>
        <w:t xml:space="preserve">her than annual and incorporate </w:t>
      </w:r>
      <w:r>
        <w:rPr>
          <w:rFonts w:ascii="TrebuchetMS" w:hAnsi="TrebuchetMS" w:cs="TrebuchetMS"/>
          <w:sz w:val="24"/>
          <w:szCs w:val="24"/>
        </w:rPr>
        <w:t>the different rates.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>Graph the present-value formula for each account. Labe</w:t>
      </w:r>
      <w:r>
        <w:rPr>
          <w:rFonts w:ascii="TrebuchetMS" w:hAnsi="TrebuchetMS" w:cs="TrebuchetMS"/>
          <w:sz w:val="24"/>
          <w:szCs w:val="24"/>
        </w:rPr>
        <w:t xml:space="preserve">l the axes, scales, and curves, and provide titles.  </w:t>
      </w:r>
      <w:r>
        <w:rPr>
          <w:rFonts w:ascii="TrebuchetMS" w:hAnsi="TrebuchetMS" w:cs="TrebuchetMS"/>
          <w:sz w:val="24"/>
          <w:szCs w:val="24"/>
        </w:rPr>
        <w:t xml:space="preserve">Which factor has the most significant effect on </w:t>
      </w:r>
      <w:r>
        <w:rPr>
          <w:rFonts w:ascii="TrebuchetMS" w:hAnsi="TrebuchetMS" w:cs="TrebuchetMS"/>
          <w:sz w:val="24"/>
          <w:szCs w:val="24"/>
        </w:rPr>
        <w:t xml:space="preserve">the curve: the interest rate or </w:t>
      </w:r>
      <w:r>
        <w:rPr>
          <w:rFonts w:ascii="TrebuchetMS" w:hAnsi="TrebuchetMS" w:cs="TrebuchetMS"/>
          <w:sz w:val="24"/>
          <w:szCs w:val="24"/>
        </w:rPr>
        <w:t>compounding periods? Why?</w:t>
      </w: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076957" w:rsidRPr="00076957" w:rsidRDefault="00076957" w:rsidP="0007695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REFLECTION: </w:t>
      </w:r>
      <w:r>
        <w:rPr>
          <w:rFonts w:ascii="TrebuchetMS" w:hAnsi="TrebuchetMS" w:cs="TrebuchetMS"/>
          <w:sz w:val="24"/>
          <w:szCs w:val="24"/>
        </w:rPr>
        <w:t>In which account should Blaine invest? Why?</w:t>
      </w:r>
    </w:p>
    <w:sectPr w:rsidR="00076957" w:rsidRPr="00076957" w:rsidSect="00076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7"/>
    <w:rsid w:val="00076957"/>
    <w:rsid w:val="00893105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9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9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2013-03-01T20:21:00Z</dcterms:created>
  <dcterms:modified xsi:type="dcterms:W3CDTF">2013-03-01T20:32:00Z</dcterms:modified>
</cp:coreProperties>
</file>